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STELLANTIS, ALBERTO BAGNAI (RESPONSABILE ECONOMIA LEGA): “QUALI INVESTIMENTI E QUALI LIVELLI DI OCCUPAZIONE NEL SITO DELLA VAL DI SANGRO IN ABRUZZO?”</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Roma, 19 marzo 2025</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Nessuno disconosce l’importante ruolo che l’azienda che lei rappresenta ha avuto nella storia del Paese, né tantomeno posso farlo io, che rappresento gli elettori del collegio di Chieti, ai cui abitanti gli stabilimenti della Sevel e il relativo indotto hanno garantito per 44 anni una relativa prosperità. Ma adesso, cosa intende fare con quegli stabilimenti, quali investimenti e quali livelli di occupazione intende mantenere nel sito della Val di Sangro, ex-Sevel di Atessa? Il sito viaggia su oltre 1500 cassaintegrati; alcuni sono miei amici, qualcuno quando gli chiedo se è preoccupato mi risponde: sono rassegnato”</w:t>
      </w:r>
      <w:r w:rsidDel="00000000" w:rsidR="00000000" w:rsidRPr="00000000">
        <w:rPr>
          <w:sz w:val="24"/>
          <w:szCs w:val="24"/>
          <w:rtl w:val="0"/>
        </w:rPr>
        <w:t xml:space="preserve"> così il Responsabile Economia della Lega, On. Alberto Bagnai, intervenendo nel corso dell’audizione </w:t>
      </w:r>
      <w:r w:rsidDel="00000000" w:rsidR="00000000" w:rsidRPr="00000000">
        <w:rPr>
          <w:sz w:val="24"/>
          <w:szCs w:val="24"/>
          <w:highlight w:val="white"/>
          <w:rtl w:val="0"/>
        </w:rPr>
        <w:t xml:space="preserve">del presidente di Stellantis, John Elkann, sulla produzione automobilistica del gruppo Stellantis in Italia presso la Sala del Mappamondo di Montecitorio.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